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5AEC6" w14:textId="64FF4743" w:rsidR="00977939" w:rsidRDefault="00977939" w:rsidP="006C398E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,Bold"/>
          <w:b/>
          <w:bCs/>
          <w:sz w:val="28"/>
          <w:szCs w:val="28"/>
        </w:rPr>
      </w:pPr>
      <w:r w:rsidRPr="00976909">
        <w:rPr>
          <w:rFonts w:cs="ArialNarrow,Bold"/>
          <w:b/>
          <w:bCs/>
          <w:sz w:val="28"/>
          <w:szCs w:val="28"/>
        </w:rPr>
        <w:t>Kriterien für die Erstellung der Rankings 20</w:t>
      </w:r>
      <w:r w:rsidR="009E061B">
        <w:rPr>
          <w:rFonts w:cs="ArialNarrow,Bold"/>
          <w:b/>
          <w:bCs/>
          <w:sz w:val="28"/>
          <w:szCs w:val="28"/>
        </w:rPr>
        <w:t>2</w:t>
      </w:r>
      <w:r w:rsidR="00E01D86">
        <w:rPr>
          <w:rFonts w:cs="ArialNarrow,Bold"/>
          <w:b/>
          <w:bCs/>
          <w:sz w:val="28"/>
          <w:szCs w:val="28"/>
        </w:rPr>
        <w:t>5</w:t>
      </w:r>
    </w:p>
    <w:p w14:paraId="226ECFB4" w14:textId="77777777" w:rsidR="00977939" w:rsidRPr="00976909" w:rsidRDefault="00977939" w:rsidP="006C398E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,Bold"/>
          <w:b/>
          <w:bCs/>
        </w:rPr>
      </w:pPr>
    </w:p>
    <w:p w14:paraId="1022E3D7" w14:textId="1A669BB4" w:rsidR="00D10FA0" w:rsidRDefault="00D10FA0" w:rsidP="006C398E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D10FA0">
        <w:rPr>
          <w:rFonts w:cs="ArialNarrow"/>
        </w:rPr>
        <w:t xml:space="preserve">Die Ranglisten beziehen sich auf das </w:t>
      </w:r>
      <w:r w:rsidR="001352C9">
        <w:rPr>
          <w:rFonts w:cs="ArialNarrow"/>
        </w:rPr>
        <w:t xml:space="preserve">im </w:t>
      </w:r>
      <w:r w:rsidRPr="00D10FA0">
        <w:rPr>
          <w:rFonts w:cs="ArialNarrow"/>
        </w:rPr>
        <w:t>Jahr 20</w:t>
      </w:r>
      <w:r w:rsidR="009A3404">
        <w:rPr>
          <w:rFonts w:cs="ArialNarrow"/>
        </w:rPr>
        <w:t>2</w:t>
      </w:r>
      <w:r w:rsidR="00E01D86">
        <w:rPr>
          <w:rFonts w:cs="ArialNarrow"/>
        </w:rPr>
        <w:t>4</w:t>
      </w:r>
      <w:r w:rsidR="001352C9">
        <w:rPr>
          <w:rFonts w:cs="ArialNarrow"/>
        </w:rPr>
        <w:t xml:space="preserve"> abgeschlossene Geschäftsjahr</w:t>
      </w:r>
      <w:r w:rsidRPr="00D10FA0">
        <w:rPr>
          <w:rFonts w:cs="ArialNarrow"/>
        </w:rPr>
        <w:t xml:space="preserve">. </w:t>
      </w:r>
      <w:r w:rsidR="001352C9">
        <w:rPr>
          <w:rFonts w:cs="ArialNarrow"/>
        </w:rPr>
        <w:t xml:space="preserve">Falls </w:t>
      </w:r>
      <w:r w:rsidR="0063022B">
        <w:rPr>
          <w:rFonts w:cs="ArialNarrow"/>
        </w:rPr>
        <w:t xml:space="preserve">das Abschlussdatum des letzten Geschäftsjahres </w:t>
      </w:r>
      <w:r w:rsidR="004E7771">
        <w:rPr>
          <w:rFonts w:cs="ArialNarrow"/>
        </w:rPr>
        <w:t xml:space="preserve">am bzw. </w:t>
      </w:r>
      <w:r w:rsidR="0063022B">
        <w:rPr>
          <w:rFonts w:cs="ArialNarrow"/>
        </w:rPr>
        <w:t>nach dem 3</w:t>
      </w:r>
      <w:r w:rsidR="00122076">
        <w:rPr>
          <w:rFonts w:cs="ArialNarrow"/>
        </w:rPr>
        <w:t>0</w:t>
      </w:r>
      <w:r w:rsidR="0063022B">
        <w:rPr>
          <w:rFonts w:cs="ArialNarrow"/>
        </w:rPr>
        <w:t>.</w:t>
      </w:r>
      <w:r w:rsidR="004E7771">
        <w:rPr>
          <w:rFonts w:cs="ArialNarrow"/>
        </w:rPr>
        <w:t>06</w:t>
      </w:r>
      <w:r w:rsidR="0063022B">
        <w:rPr>
          <w:rFonts w:cs="ArialNarrow"/>
        </w:rPr>
        <w:t>.20</w:t>
      </w:r>
      <w:r w:rsidR="009A3404">
        <w:rPr>
          <w:rFonts w:cs="ArialNarrow"/>
        </w:rPr>
        <w:t>2</w:t>
      </w:r>
      <w:r w:rsidR="00E01D86">
        <w:rPr>
          <w:rFonts w:cs="ArialNarrow"/>
        </w:rPr>
        <w:t>4</w:t>
      </w:r>
      <w:r w:rsidR="0063022B">
        <w:rPr>
          <w:rFonts w:cs="ArialNarrow"/>
        </w:rPr>
        <w:t xml:space="preserve"> liegt und </w:t>
      </w:r>
      <w:r w:rsidRPr="00D10FA0">
        <w:rPr>
          <w:rFonts w:cs="ArialNarrow"/>
        </w:rPr>
        <w:t>keine entsprechende</w:t>
      </w:r>
      <w:r w:rsidR="001352C9">
        <w:rPr>
          <w:rFonts w:cs="ArialNarrow"/>
        </w:rPr>
        <w:t xml:space="preserve"> Bilanz</w:t>
      </w:r>
      <w:r w:rsidRPr="00D10FA0">
        <w:rPr>
          <w:rFonts w:cs="ArialNarrow"/>
        </w:rPr>
        <w:t xml:space="preserve"> vor</w:t>
      </w:r>
      <w:r w:rsidR="001352C9">
        <w:rPr>
          <w:rFonts w:cs="ArialNarrow"/>
        </w:rPr>
        <w:t>liegt</w:t>
      </w:r>
      <w:r w:rsidRPr="00D10FA0">
        <w:rPr>
          <w:rFonts w:cs="ArialNarrow"/>
        </w:rPr>
        <w:t>, wird das Vorjahr berücksichtigt.</w:t>
      </w:r>
    </w:p>
    <w:p w14:paraId="258B7278" w14:textId="77777777" w:rsidR="00D10FA0" w:rsidRDefault="00D10FA0" w:rsidP="006C398E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</w:p>
    <w:p w14:paraId="71B32462" w14:textId="3DB1CCBA" w:rsidR="002B02A3" w:rsidRDefault="00185E2B" w:rsidP="006C398E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,Bold"/>
          <w:b/>
          <w:bCs/>
        </w:rPr>
      </w:pPr>
      <w:r w:rsidRPr="00185E2B">
        <w:rPr>
          <w:rFonts w:cs="ArialNarrow,Bold"/>
          <w:b/>
          <w:bCs/>
        </w:rPr>
        <w:t>Top100</w:t>
      </w:r>
      <w:r w:rsidR="002B02A3">
        <w:rPr>
          <w:rFonts w:cs="ArialNarrow,Bold"/>
          <w:b/>
          <w:bCs/>
        </w:rPr>
        <w:t>-Rankings</w:t>
      </w:r>
      <w:r w:rsidRPr="00185E2B">
        <w:rPr>
          <w:rFonts w:cs="ArialNarrow,Bold"/>
          <w:b/>
          <w:bCs/>
        </w:rPr>
        <w:t xml:space="preserve"> </w:t>
      </w:r>
      <w:r w:rsidR="002B02A3">
        <w:rPr>
          <w:rFonts w:cs="ArialNarrow,Bold"/>
          <w:b/>
          <w:bCs/>
        </w:rPr>
        <w:t>(</w:t>
      </w:r>
      <w:r w:rsidRPr="00185E2B">
        <w:rPr>
          <w:rFonts w:cs="ArialNarrow,Bold"/>
          <w:b/>
          <w:bCs/>
        </w:rPr>
        <w:t>nach Gesamtleistung, Personalaufwand, Bruttowertschöpfung, bezahlten Steuern in den letzten drei Jahren</w:t>
      </w:r>
      <w:r w:rsidR="00E01D86">
        <w:rPr>
          <w:rFonts w:cs="ArialNarrow,Bold"/>
          <w:b/>
          <w:bCs/>
        </w:rPr>
        <w:t>, Nettovermögen</w:t>
      </w:r>
      <w:r w:rsidRPr="00185E2B">
        <w:rPr>
          <w:rFonts w:cs="ArialNarrow,Bold"/>
          <w:b/>
          <w:bCs/>
        </w:rPr>
        <w:t>)</w:t>
      </w:r>
    </w:p>
    <w:p w14:paraId="0087A5B0" w14:textId="5BA0BEF9" w:rsidR="00977939" w:rsidRPr="00976909" w:rsidRDefault="002B02A3" w:rsidP="002B02A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right="-567" w:hanging="425"/>
        <w:jc w:val="both"/>
        <w:rPr>
          <w:rFonts w:cs="ArialNarrow"/>
        </w:rPr>
      </w:pPr>
      <w:r w:rsidRPr="002B02A3">
        <w:rPr>
          <w:rFonts w:cs="ArialNarrow"/>
        </w:rPr>
        <w:t xml:space="preserve">Berücksichtigt werden ausschließlich Kapitalgesellschaften mit Sitz in Südtirol, die eine </w:t>
      </w:r>
      <w:r w:rsidR="00977939" w:rsidRPr="00976909">
        <w:rPr>
          <w:rFonts w:cs="ArialNarrow"/>
        </w:rPr>
        <w:t xml:space="preserve">Bilanz nach dem EU-Schema </w:t>
      </w:r>
      <w:r>
        <w:rPr>
          <w:rFonts w:cs="ArialNarrow"/>
        </w:rPr>
        <w:t xml:space="preserve">innerhalb </w:t>
      </w:r>
      <w:r w:rsidR="00122076">
        <w:rPr>
          <w:rFonts w:cs="ArialNarrow"/>
        </w:rPr>
        <w:t>20</w:t>
      </w:r>
      <w:r>
        <w:rPr>
          <w:rFonts w:cs="ArialNarrow"/>
        </w:rPr>
        <w:t xml:space="preserve">. </w:t>
      </w:r>
      <w:r w:rsidR="00E01D86">
        <w:rPr>
          <w:rFonts w:cs="ArialNarrow"/>
        </w:rPr>
        <w:t>Oktober</w:t>
      </w:r>
      <w:r>
        <w:rPr>
          <w:rFonts w:cs="ArialNarrow"/>
        </w:rPr>
        <w:t xml:space="preserve"> 20</w:t>
      </w:r>
      <w:r w:rsidR="009E061B">
        <w:rPr>
          <w:rFonts w:cs="ArialNarrow"/>
        </w:rPr>
        <w:t>2</w:t>
      </w:r>
      <w:r w:rsidR="00E01D86">
        <w:rPr>
          <w:rFonts w:cs="ArialNarrow"/>
        </w:rPr>
        <w:t>5</w:t>
      </w:r>
      <w:r w:rsidRPr="00976909">
        <w:rPr>
          <w:rFonts w:cs="ArialNarrow"/>
        </w:rPr>
        <w:t xml:space="preserve"> </w:t>
      </w:r>
      <w:r>
        <w:rPr>
          <w:rFonts w:cs="ArialNarrow"/>
        </w:rPr>
        <w:t>h</w:t>
      </w:r>
      <w:r w:rsidRPr="00976909">
        <w:rPr>
          <w:rFonts w:cs="ArialNarrow"/>
        </w:rPr>
        <w:t>interleg</w:t>
      </w:r>
      <w:r>
        <w:rPr>
          <w:rFonts w:cs="ArialNarrow"/>
        </w:rPr>
        <w:t>t haben</w:t>
      </w:r>
      <w:r w:rsidRPr="00976909">
        <w:rPr>
          <w:rFonts w:cs="ArialNarrow"/>
        </w:rPr>
        <w:t xml:space="preserve"> </w:t>
      </w:r>
      <w:r w:rsidR="00977939" w:rsidRPr="00976909">
        <w:rPr>
          <w:rFonts w:cs="ArialNarrow"/>
        </w:rPr>
        <w:t xml:space="preserve">(Unternehmen im Kredit- und Finanzwesen </w:t>
      </w:r>
      <w:r>
        <w:rPr>
          <w:rFonts w:cs="ArialNarrow"/>
        </w:rPr>
        <w:t>werden</w:t>
      </w:r>
      <w:r w:rsidR="005B4BE4">
        <w:rPr>
          <w:rFonts w:cs="ArialNarrow"/>
        </w:rPr>
        <w:t xml:space="preserve"> </w:t>
      </w:r>
      <w:r w:rsidR="00977939" w:rsidRPr="00976909">
        <w:rPr>
          <w:rFonts w:cs="ArialNarrow"/>
        </w:rPr>
        <w:t>nicht berücksichtigt, da sie ein anderes Bilanzschema verwenden)</w:t>
      </w:r>
      <w:r w:rsidR="00B12413">
        <w:rPr>
          <w:rFonts w:cs="ArialNarrow"/>
        </w:rPr>
        <w:t>;</w:t>
      </w:r>
    </w:p>
    <w:p w14:paraId="6EEBFB92" w14:textId="77777777" w:rsidR="00D10FA0" w:rsidRPr="00976909" w:rsidRDefault="00D10FA0" w:rsidP="00D10FA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732116">
        <w:rPr>
          <w:rFonts w:cs="ArialNarrow"/>
        </w:rPr>
        <w:t xml:space="preserve">Unternehmen gelten nur dann als Teil eines Konzerns, </w:t>
      </w:r>
      <w:r>
        <w:rPr>
          <w:rFonts w:cs="ArialNarrow"/>
        </w:rPr>
        <w:t>wenn</w:t>
      </w:r>
      <w:r w:rsidRPr="00976909">
        <w:rPr>
          <w:rFonts w:cs="ArialNarrow"/>
        </w:rPr>
        <w:t xml:space="preserve"> </w:t>
      </w:r>
      <w:r>
        <w:rPr>
          <w:rFonts w:cs="ArialNarrow"/>
        </w:rPr>
        <w:t>eine konsolidierte Bilanz hinterlegt wird</w:t>
      </w:r>
      <w:r w:rsidRPr="00976909">
        <w:rPr>
          <w:rFonts w:cs="ArialNarrow"/>
        </w:rPr>
        <w:t>.</w:t>
      </w:r>
      <w:r>
        <w:rPr>
          <w:rFonts w:cs="ArialNarrow"/>
        </w:rPr>
        <w:t xml:space="preserve"> </w:t>
      </w:r>
      <w:r w:rsidR="00D30FFF">
        <w:rPr>
          <w:rFonts w:cs="ArialNarrow"/>
        </w:rPr>
        <w:t>In diesem Fall</w:t>
      </w:r>
      <w:r>
        <w:rPr>
          <w:rFonts w:cs="ArialNarrow"/>
        </w:rPr>
        <w:t xml:space="preserve"> </w:t>
      </w:r>
      <w:r w:rsidR="00F06E3D">
        <w:rPr>
          <w:rFonts w:cs="ArialNarrow"/>
        </w:rPr>
        <w:t>werden die Werte</w:t>
      </w:r>
      <w:r w:rsidRPr="00976909">
        <w:rPr>
          <w:rFonts w:cs="ArialNarrow"/>
        </w:rPr>
        <w:t xml:space="preserve"> de</w:t>
      </w:r>
      <w:r>
        <w:rPr>
          <w:rFonts w:cs="ArialNarrow"/>
        </w:rPr>
        <w:t>s</w:t>
      </w:r>
      <w:r w:rsidRPr="00976909">
        <w:rPr>
          <w:rFonts w:cs="ArialNarrow"/>
        </w:rPr>
        <w:t xml:space="preserve"> </w:t>
      </w:r>
      <w:r>
        <w:rPr>
          <w:rFonts w:cs="ArialNarrow"/>
        </w:rPr>
        <w:t>Konzerns</w:t>
      </w:r>
      <w:r w:rsidRPr="00976909">
        <w:rPr>
          <w:rFonts w:cs="ArialNarrow"/>
        </w:rPr>
        <w:t xml:space="preserve"> aus</w:t>
      </w:r>
      <w:r>
        <w:rPr>
          <w:rFonts w:cs="ArialNarrow"/>
        </w:rPr>
        <w:t>gewiesen</w:t>
      </w:r>
      <w:r w:rsidRPr="00976909">
        <w:rPr>
          <w:rFonts w:cs="ArialNarrow"/>
        </w:rPr>
        <w:t xml:space="preserve"> und nicht jene der </w:t>
      </w:r>
      <w:r>
        <w:rPr>
          <w:rFonts w:cs="ArialNarrow"/>
        </w:rPr>
        <w:t>e</w:t>
      </w:r>
      <w:r w:rsidRPr="00976909">
        <w:rPr>
          <w:rFonts w:cs="ArialNarrow"/>
        </w:rPr>
        <w:t>inzel</w:t>
      </w:r>
      <w:r>
        <w:rPr>
          <w:rFonts w:cs="ArialNarrow"/>
        </w:rPr>
        <w:t>nen Unternehmen</w:t>
      </w:r>
      <w:r w:rsidRPr="00976909">
        <w:rPr>
          <w:rFonts w:cs="ArialNarrow"/>
        </w:rPr>
        <w:t>, die Gegenstand der Konsolidierung sind.</w:t>
      </w:r>
    </w:p>
    <w:p w14:paraId="6E1EF770" w14:textId="77777777" w:rsidR="00977939" w:rsidRPr="00976909" w:rsidRDefault="00977939" w:rsidP="0097690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976909">
        <w:rPr>
          <w:rFonts w:cs="ArialNarrow"/>
        </w:rPr>
        <w:t>Für die Erstellung der Rankings werden folgende Konten der Gewinn- und Verlustrechnung herangezogen:</w:t>
      </w:r>
    </w:p>
    <w:p w14:paraId="3507828B" w14:textId="77777777" w:rsidR="00977939" w:rsidRPr="00976909" w:rsidRDefault="00977939" w:rsidP="00976909">
      <w:pPr>
        <w:pStyle w:val="Paragrafoelenco"/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976909">
        <w:rPr>
          <w:rFonts w:cs="ArialNarrow"/>
        </w:rPr>
        <w:t>Ga</w:t>
      </w:r>
      <w:r w:rsidR="00815750" w:rsidRPr="00976909">
        <w:rPr>
          <w:rFonts w:cs="ArialNarrow"/>
        </w:rPr>
        <w:tab/>
      </w:r>
      <w:r w:rsidRPr="00976909">
        <w:rPr>
          <w:rFonts w:cs="ArialNarrow"/>
        </w:rPr>
        <w:t>Gesamtleistung</w:t>
      </w:r>
      <w:r w:rsidR="00B45AD4">
        <w:rPr>
          <w:rFonts w:cs="ArialNarrow"/>
        </w:rPr>
        <w:t>;</w:t>
      </w:r>
    </w:p>
    <w:p w14:paraId="7C27D5E6" w14:textId="77777777" w:rsidR="00977939" w:rsidRPr="00976909" w:rsidRDefault="00977939" w:rsidP="00976909">
      <w:pPr>
        <w:pStyle w:val="Paragrafoelenco"/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976909">
        <w:rPr>
          <w:rFonts w:cs="ArialNarrow"/>
        </w:rPr>
        <w:t>Ga1</w:t>
      </w:r>
      <w:r w:rsidR="00815750" w:rsidRPr="00976909">
        <w:rPr>
          <w:rFonts w:cs="ArialNarrow"/>
        </w:rPr>
        <w:tab/>
      </w:r>
      <w:r w:rsidRPr="00976909">
        <w:rPr>
          <w:rFonts w:cs="ArialNarrow"/>
        </w:rPr>
        <w:t>Umsatzerlöse</w:t>
      </w:r>
      <w:r w:rsidR="00B45AD4">
        <w:rPr>
          <w:rFonts w:cs="ArialNarrow"/>
        </w:rPr>
        <w:t>;</w:t>
      </w:r>
    </w:p>
    <w:p w14:paraId="1F45DCBB" w14:textId="77777777" w:rsidR="00977939" w:rsidRPr="00976909" w:rsidRDefault="00977939" w:rsidP="00976909">
      <w:pPr>
        <w:pStyle w:val="Paragrafoelenco"/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976909">
        <w:rPr>
          <w:rFonts w:cs="ArialNarrow"/>
        </w:rPr>
        <w:t>Gb6</w:t>
      </w:r>
      <w:r w:rsidR="00815750" w:rsidRPr="00976909">
        <w:rPr>
          <w:rFonts w:cs="ArialNarrow"/>
        </w:rPr>
        <w:tab/>
      </w:r>
      <w:r w:rsidRPr="00976909">
        <w:rPr>
          <w:rFonts w:cs="ArialNarrow"/>
        </w:rPr>
        <w:t>Aufwendungen für Roh-, Hilfs- und Betriebsstoffe und für bezogene Waren</w:t>
      </w:r>
      <w:r w:rsidR="00B45AD4">
        <w:rPr>
          <w:rFonts w:cs="ArialNarrow"/>
        </w:rPr>
        <w:t>;</w:t>
      </w:r>
    </w:p>
    <w:p w14:paraId="5631B54B" w14:textId="77777777" w:rsidR="00977939" w:rsidRPr="00976909" w:rsidRDefault="00977939" w:rsidP="00976909">
      <w:pPr>
        <w:pStyle w:val="Paragrafoelenco"/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976909">
        <w:rPr>
          <w:rFonts w:cs="ArialNarrow"/>
        </w:rPr>
        <w:t>Gb7</w:t>
      </w:r>
      <w:r w:rsidR="00815750" w:rsidRPr="00976909">
        <w:rPr>
          <w:rFonts w:cs="ArialNarrow"/>
        </w:rPr>
        <w:tab/>
      </w:r>
      <w:r w:rsidRPr="00976909">
        <w:rPr>
          <w:rFonts w:cs="ArialNarrow"/>
        </w:rPr>
        <w:t>Aufwendungen für bezogene Leistungen</w:t>
      </w:r>
      <w:r w:rsidR="00B45AD4">
        <w:rPr>
          <w:rFonts w:cs="ArialNarrow"/>
        </w:rPr>
        <w:t>;</w:t>
      </w:r>
    </w:p>
    <w:p w14:paraId="4C04E366" w14:textId="77777777" w:rsidR="00977939" w:rsidRPr="00976909" w:rsidRDefault="00977939" w:rsidP="00976909">
      <w:pPr>
        <w:pStyle w:val="Paragrafoelenco"/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976909">
        <w:rPr>
          <w:rFonts w:cs="ArialNarrow"/>
        </w:rPr>
        <w:t>Gb8</w:t>
      </w:r>
      <w:r w:rsidR="00815750" w:rsidRPr="00976909">
        <w:rPr>
          <w:rFonts w:cs="ArialNarrow"/>
        </w:rPr>
        <w:tab/>
      </w:r>
      <w:r w:rsidRPr="00976909">
        <w:rPr>
          <w:rFonts w:cs="ArialNarrow"/>
        </w:rPr>
        <w:t>Aufwendungen für Nutzung von Gütern Dritter</w:t>
      </w:r>
      <w:r w:rsidR="00B45AD4">
        <w:rPr>
          <w:rFonts w:cs="ArialNarrow"/>
        </w:rPr>
        <w:t>;</w:t>
      </w:r>
    </w:p>
    <w:p w14:paraId="7294A222" w14:textId="77777777" w:rsidR="00977939" w:rsidRPr="00976909" w:rsidRDefault="00977939" w:rsidP="00976909">
      <w:pPr>
        <w:pStyle w:val="Paragrafoelenco"/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976909">
        <w:rPr>
          <w:rFonts w:cs="ArialNarrow"/>
        </w:rPr>
        <w:t>Gb9</w:t>
      </w:r>
      <w:r w:rsidR="00815750" w:rsidRPr="00976909">
        <w:rPr>
          <w:rFonts w:cs="ArialNarrow"/>
        </w:rPr>
        <w:tab/>
      </w:r>
      <w:r w:rsidRPr="00976909">
        <w:rPr>
          <w:rFonts w:cs="ArialNarrow"/>
        </w:rPr>
        <w:t>Personalaufwand</w:t>
      </w:r>
      <w:r w:rsidR="00B45AD4">
        <w:rPr>
          <w:rFonts w:cs="ArialNarrow"/>
        </w:rPr>
        <w:t>;</w:t>
      </w:r>
    </w:p>
    <w:p w14:paraId="4B1CE9A3" w14:textId="77777777" w:rsidR="00977939" w:rsidRPr="00976909" w:rsidRDefault="00977939" w:rsidP="00822096">
      <w:pPr>
        <w:pStyle w:val="Paragrafoelenco"/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976909">
        <w:rPr>
          <w:rFonts w:cs="ArialNarrow"/>
        </w:rPr>
        <w:t>Gb1</w:t>
      </w:r>
      <w:r w:rsidR="00B45AD4">
        <w:rPr>
          <w:rFonts w:cs="ArialNarrow"/>
        </w:rPr>
        <w:t>1</w:t>
      </w:r>
      <w:r w:rsidR="00822096">
        <w:rPr>
          <w:rFonts w:cs="ArialNarrow"/>
        </w:rPr>
        <w:tab/>
      </w:r>
      <w:r w:rsidRPr="00976909">
        <w:rPr>
          <w:rFonts w:cs="ArialNarrow"/>
        </w:rPr>
        <w:t>Bestandsveränderungen der Roh-, Hilfs- und Betriebsstoffe und der bezogenen Waren</w:t>
      </w:r>
      <w:r w:rsidR="00B45AD4">
        <w:rPr>
          <w:rFonts w:cs="ArialNarrow"/>
        </w:rPr>
        <w:t>;</w:t>
      </w:r>
    </w:p>
    <w:p w14:paraId="2F3BF2A6" w14:textId="77777777" w:rsidR="00977939" w:rsidRPr="00976909" w:rsidRDefault="00977939" w:rsidP="00976909">
      <w:pPr>
        <w:pStyle w:val="Paragrafoelenco"/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976909">
        <w:rPr>
          <w:rFonts w:cs="ArialNarrow"/>
        </w:rPr>
        <w:t>Gb14</w:t>
      </w:r>
      <w:r w:rsidR="00B45AD4">
        <w:rPr>
          <w:rFonts w:cs="ArialNarrow"/>
        </w:rPr>
        <w:tab/>
      </w:r>
      <w:r w:rsidRPr="00976909">
        <w:rPr>
          <w:rFonts w:cs="ArialNarrow"/>
        </w:rPr>
        <w:t>Sonstige betriebliche Aufwendungen</w:t>
      </w:r>
      <w:r w:rsidR="00B45AD4">
        <w:rPr>
          <w:rFonts w:cs="ArialNarrow"/>
        </w:rPr>
        <w:t>.</w:t>
      </w:r>
    </w:p>
    <w:p w14:paraId="29D89B61" w14:textId="77777777" w:rsidR="00977939" w:rsidRPr="00976909" w:rsidRDefault="00977939" w:rsidP="0097690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976909">
        <w:rPr>
          <w:rFonts w:cs="ArialNarrow"/>
        </w:rPr>
        <w:t xml:space="preserve">Die Bruttowertschöpfung errechnet sich aus </w:t>
      </w:r>
      <w:r w:rsidR="008C6E12">
        <w:rPr>
          <w:rFonts w:cs="ArialNarrow"/>
        </w:rPr>
        <w:t>der</w:t>
      </w:r>
      <w:r w:rsidRPr="00976909">
        <w:rPr>
          <w:rFonts w:cs="ArialNarrow"/>
        </w:rPr>
        <w:t xml:space="preserve"> Formel:</w:t>
      </w:r>
    </w:p>
    <w:p w14:paraId="75CDA03E" w14:textId="77777777" w:rsidR="00977939" w:rsidRDefault="00B45AD4" w:rsidP="00976909">
      <w:pPr>
        <w:pStyle w:val="Paragrafoelenco"/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  <w:i/>
        </w:rPr>
      </w:pPr>
      <w:r w:rsidRPr="00B45AD4">
        <w:rPr>
          <w:rFonts w:cs="ArialNarrow"/>
          <w:i/>
        </w:rPr>
        <w:t xml:space="preserve">Bruttowertschöpfung = </w:t>
      </w:r>
      <w:r w:rsidR="00977939" w:rsidRPr="00B45AD4">
        <w:rPr>
          <w:rFonts w:cs="ArialNarrow"/>
          <w:i/>
        </w:rPr>
        <w:t xml:space="preserve">Ga – Gb6 – Gb7 </w:t>
      </w:r>
      <w:r w:rsidRPr="00B45AD4">
        <w:rPr>
          <w:rFonts w:cs="ArialNarrow"/>
          <w:i/>
        </w:rPr>
        <w:t>–</w:t>
      </w:r>
      <w:r w:rsidR="00977939" w:rsidRPr="00B45AD4">
        <w:rPr>
          <w:rFonts w:cs="ArialNarrow"/>
          <w:i/>
        </w:rPr>
        <w:t xml:space="preserve"> Gb8 </w:t>
      </w:r>
      <w:bookmarkStart w:id="0" w:name="_Hlk24376332"/>
      <w:r w:rsidR="00977939" w:rsidRPr="00B45AD4">
        <w:rPr>
          <w:rFonts w:cs="ArialNarrow"/>
          <w:i/>
        </w:rPr>
        <w:t>–</w:t>
      </w:r>
      <w:bookmarkEnd w:id="0"/>
      <w:r w:rsidR="00977939" w:rsidRPr="00B45AD4">
        <w:rPr>
          <w:rFonts w:cs="ArialNarrow"/>
          <w:i/>
        </w:rPr>
        <w:t xml:space="preserve"> Gb11 – Gb14</w:t>
      </w:r>
    </w:p>
    <w:p w14:paraId="6C8959B7" w14:textId="77777777" w:rsidR="00D30FFF" w:rsidRDefault="00D30FFF" w:rsidP="00976909">
      <w:pPr>
        <w:pStyle w:val="Paragrafoelenco"/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  <w:i/>
        </w:rPr>
      </w:pPr>
    </w:p>
    <w:p w14:paraId="6C43B099" w14:textId="77777777" w:rsidR="00D30FFF" w:rsidRPr="00D30FFF" w:rsidRDefault="00D30FFF" w:rsidP="00D30FFF">
      <w:pPr>
        <w:autoSpaceDE w:val="0"/>
        <w:autoSpaceDN w:val="0"/>
        <w:adjustRightInd w:val="0"/>
        <w:spacing w:after="0" w:line="240" w:lineRule="auto"/>
        <w:ind w:left="360" w:right="-567"/>
        <w:jc w:val="both"/>
        <w:rPr>
          <w:rFonts w:cs="ArialNarrow,Bold"/>
          <w:b/>
          <w:bCs/>
        </w:rPr>
      </w:pPr>
      <w:r w:rsidRPr="00D30FFF">
        <w:rPr>
          <w:rFonts w:cs="ArialNarrow,Bold"/>
          <w:b/>
          <w:bCs/>
        </w:rPr>
        <w:t>Branchen</w:t>
      </w:r>
      <w:r>
        <w:rPr>
          <w:rFonts w:cs="ArialNarrow,Bold"/>
          <w:b/>
          <w:bCs/>
        </w:rPr>
        <w:t>r</w:t>
      </w:r>
      <w:r w:rsidRPr="00D30FFF">
        <w:rPr>
          <w:rFonts w:cs="ArialNarrow,Bold"/>
          <w:b/>
          <w:bCs/>
        </w:rPr>
        <w:t>ankings</w:t>
      </w:r>
    </w:p>
    <w:p w14:paraId="7BDAC5CE" w14:textId="77777777" w:rsidR="00D30FFF" w:rsidRDefault="00D30FFF" w:rsidP="00D30FF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976909">
        <w:rPr>
          <w:rFonts w:cs="ArialNarrow"/>
        </w:rPr>
        <w:t xml:space="preserve">Die </w:t>
      </w:r>
      <w:r>
        <w:rPr>
          <w:rFonts w:cs="ArialNarrow"/>
        </w:rPr>
        <w:t>Branche</w:t>
      </w:r>
      <w:r w:rsidRPr="00D30FFF">
        <w:rPr>
          <w:rFonts w:cs="ArialNarrow"/>
        </w:rPr>
        <w:t xml:space="preserve">nrankings </w:t>
      </w:r>
      <w:r>
        <w:rPr>
          <w:rFonts w:cs="ArialNarrow"/>
        </w:rPr>
        <w:t>werden nach</w:t>
      </w:r>
      <w:r w:rsidRPr="00976909">
        <w:rPr>
          <w:rFonts w:cs="ArialNarrow"/>
        </w:rPr>
        <w:t xml:space="preserve"> Gesamtleistung </w:t>
      </w:r>
      <w:r>
        <w:rPr>
          <w:rFonts w:cs="ArialNarrow"/>
        </w:rPr>
        <w:t>erstellt.</w:t>
      </w:r>
    </w:p>
    <w:p w14:paraId="12E36327" w14:textId="77777777" w:rsidR="00D30FFF" w:rsidRPr="00976909" w:rsidRDefault="00824A99" w:rsidP="00D30FF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>
        <w:rPr>
          <w:rFonts w:cs="ArialNarrow"/>
        </w:rPr>
        <w:t xml:space="preserve">Konsolidierte Bilanzen werden nicht berücksichtigt. </w:t>
      </w:r>
      <w:r w:rsidR="007403CE">
        <w:rPr>
          <w:rFonts w:cs="ArialNarrow"/>
        </w:rPr>
        <w:t>Die Branche</w:t>
      </w:r>
      <w:r w:rsidR="007403CE" w:rsidRPr="00D30FFF">
        <w:rPr>
          <w:rFonts w:cs="ArialNarrow"/>
        </w:rPr>
        <w:t xml:space="preserve">nrankings </w:t>
      </w:r>
      <w:r w:rsidR="007403CE">
        <w:rPr>
          <w:rFonts w:cs="ArialNarrow"/>
        </w:rPr>
        <w:t xml:space="preserve">enthalten </w:t>
      </w:r>
      <w:r w:rsidR="00D30FFF">
        <w:rPr>
          <w:rFonts w:cs="ArialNarrow"/>
        </w:rPr>
        <w:t xml:space="preserve">die </w:t>
      </w:r>
      <w:r w:rsidR="007403CE">
        <w:rPr>
          <w:rFonts w:cs="ArialNarrow"/>
        </w:rPr>
        <w:t xml:space="preserve">Werte der </w:t>
      </w:r>
      <w:r w:rsidR="00D30FFF">
        <w:rPr>
          <w:rFonts w:cs="ArialNarrow"/>
        </w:rPr>
        <w:t xml:space="preserve">einzelnen Unternehmen und nicht </w:t>
      </w:r>
      <w:r w:rsidR="006E491E">
        <w:rPr>
          <w:rFonts w:cs="ArialNarrow"/>
        </w:rPr>
        <w:t>jene</w:t>
      </w:r>
      <w:r w:rsidR="00D30FFF">
        <w:rPr>
          <w:rFonts w:cs="ArialNarrow"/>
        </w:rPr>
        <w:t xml:space="preserve"> </w:t>
      </w:r>
      <w:r w:rsidR="007403CE">
        <w:rPr>
          <w:rFonts w:cs="ArialNarrow"/>
        </w:rPr>
        <w:t xml:space="preserve">des </w:t>
      </w:r>
      <w:r w:rsidR="00D30FFF">
        <w:rPr>
          <w:rFonts w:cs="ArialNarrow"/>
        </w:rPr>
        <w:t>Konzern</w:t>
      </w:r>
      <w:r w:rsidR="007403CE">
        <w:rPr>
          <w:rFonts w:cs="ArialNarrow"/>
        </w:rPr>
        <w:t>s</w:t>
      </w:r>
      <w:r w:rsidR="00D30FFF" w:rsidRPr="00976909">
        <w:rPr>
          <w:rFonts w:cs="ArialNarrow"/>
        </w:rPr>
        <w:t>.</w:t>
      </w:r>
    </w:p>
    <w:p w14:paraId="385F97A0" w14:textId="77777777" w:rsidR="00FC0AC8" w:rsidRPr="001352C9" w:rsidRDefault="00977939" w:rsidP="0097690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5B4BE4">
        <w:rPr>
          <w:rFonts w:cs="ArialNarrow"/>
        </w:rPr>
        <w:t xml:space="preserve">Die Zuordnung der Firmen zu einem Wirtschaftssektor erfolgt nach </w:t>
      </w:r>
      <w:r w:rsidR="005B4BE4" w:rsidRPr="005B4BE4">
        <w:rPr>
          <w:rFonts w:cs="ArialNarrow"/>
        </w:rPr>
        <w:t>der</w:t>
      </w:r>
      <w:r w:rsidRPr="005B4BE4">
        <w:rPr>
          <w:rFonts w:cs="ArialNarrow"/>
        </w:rPr>
        <w:t xml:space="preserve"> Haupttätigkeit, die dem Handelsregister gemeldet wurde.</w:t>
      </w:r>
      <w:r w:rsidR="005B4BE4">
        <w:rPr>
          <w:rFonts w:cs="ArialNarrow"/>
        </w:rPr>
        <w:t xml:space="preserve"> </w:t>
      </w:r>
      <w:r w:rsidR="00FC0AC8">
        <w:rPr>
          <w:rFonts w:cs="ArialNarrow"/>
        </w:rPr>
        <w:t>Ausnahmen bilden lediglich die landwirtschaftlichen Genossenschaften und die Aufstiegsanlagen.</w:t>
      </w:r>
    </w:p>
    <w:p w14:paraId="4648A167" w14:textId="77777777" w:rsidR="001352C9" w:rsidRPr="001352C9" w:rsidRDefault="00FC0AC8" w:rsidP="001352C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Narrow"/>
        </w:rPr>
      </w:pPr>
      <w:r w:rsidRPr="001352C9">
        <w:rPr>
          <w:rFonts w:cs="ArialNarrow"/>
        </w:rPr>
        <w:t xml:space="preserve">Branchenrankings </w:t>
      </w:r>
      <w:r w:rsidR="001352C9" w:rsidRPr="001352C9">
        <w:rPr>
          <w:rFonts w:cs="ArialNarrow"/>
        </w:rPr>
        <w:t xml:space="preserve">werden </w:t>
      </w:r>
      <w:r w:rsidRPr="001352C9">
        <w:rPr>
          <w:rFonts w:cs="ArialNarrow"/>
        </w:rPr>
        <w:t xml:space="preserve">auch für Genossenschaften und Konsortien </w:t>
      </w:r>
      <w:r w:rsidR="001352C9" w:rsidRPr="001352C9">
        <w:rPr>
          <w:rFonts w:cs="ArialNarrow"/>
        </w:rPr>
        <w:t xml:space="preserve">erstellt </w:t>
      </w:r>
      <w:r w:rsidRPr="001352C9">
        <w:rPr>
          <w:rFonts w:cs="ArialNarrow"/>
        </w:rPr>
        <w:t>(</w:t>
      </w:r>
      <w:r w:rsidR="001352C9" w:rsidRPr="001352C9">
        <w:rPr>
          <w:rFonts w:cs="ArialNarrow"/>
        </w:rPr>
        <w:t>obwohl</w:t>
      </w:r>
      <w:r w:rsidRPr="001352C9">
        <w:rPr>
          <w:rFonts w:cs="ArialNarrow"/>
        </w:rPr>
        <w:t xml:space="preserve"> in den TOP100-Rankings nicht berücksichtigt</w:t>
      </w:r>
      <w:r w:rsidR="001352C9" w:rsidRPr="001352C9">
        <w:rPr>
          <w:rFonts w:cs="ArialNarrow"/>
        </w:rPr>
        <w:t>)</w:t>
      </w:r>
      <w:r w:rsidR="001352C9">
        <w:rPr>
          <w:rFonts w:cs="ArialNarrow"/>
        </w:rPr>
        <w:t>.</w:t>
      </w:r>
    </w:p>
    <w:sectPr w:rsidR="001352C9" w:rsidRPr="001352C9" w:rsidSect="00BD0E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805C2" w14:textId="77777777" w:rsidR="00900C5D" w:rsidRDefault="00900C5D" w:rsidP="005B4BE4">
      <w:pPr>
        <w:spacing w:after="0" w:line="240" w:lineRule="auto"/>
      </w:pPr>
      <w:r>
        <w:separator/>
      </w:r>
    </w:p>
  </w:endnote>
  <w:endnote w:type="continuationSeparator" w:id="0">
    <w:p w14:paraId="60DC515E" w14:textId="77777777" w:rsidR="00900C5D" w:rsidRDefault="00900C5D" w:rsidP="005B4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4C2CF" w14:textId="77777777" w:rsidR="00900C5D" w:rsidRDefault="00900C5D" w:rsidP="005B4BE4">
      <w:pPr>
        <w:spacing w:after="0" w:line="240" w:lineRule="auto"/>
      </w:pPr>
      <w:r>
        <w:separator/>
      </w:r>
    </w:p>
  </w:footnote>
  <w:footnote w:type="continuationSeparator" w:id="0">
    <w:p w14:paraId="72E9E9B9" w14:textId="77777777" w:rsidR="00900C5D" w:rsidRDefault="00900C5D" w:rsidP="005B4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7406D"/>
    <w:multiLevelType w:val="hybridMultilevel"/>
    <w:tmpl w:val="EBE6761A"/>
    <w:lvl w:ilvl="0" w:tplc="187A77D0">
      <w:numFmt w:val="bullet"/>
      <w:lvlText w:val="·"/>
      <w:lvlJc w:val="left"/>
      <w:pPr>
        <w:ind w:left="786" w:hanging="360"/>
      </w:pPr>
      <w:rPr>
        <w:rFonts w:ascii="Calibri" w:eastAsiaTheme="minorHAnsi" w:hAnsi="Calibri" w:cs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543069F"/>
    <w:multiLevelType w:val="hybridMultilevel"/>
    <w:tmpl w:val="1FF0A706"/>
    <w:lvl w:ilvl="0" w:tplc="658ADE98">
      <w:numFmt w:val="bullet"/>
      <w:lvlText w:val="·"/>
      <w:lvlJc w:val="left"/>
      <w:pPr>
        <w:ind w:left="786" w:hanging="360"/>
      </w:pPr>
      <w:rPr>
        <w:rFonts w:ascii="Calibri" w:eastAsiaTheme="minorHAnsi" w:hAnsi="Calibri" w:cs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FC766F9"/>
    <w:multiLevelType w:val="hybridMultilevel"/>
    <w:tmpl w:val="5F1877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5648AA"/>
    <w:multiLevelType w:val="hybridMultilevel"/>
    <w:tmpl w:val="E31A223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761024088">
    <w:abstractNumId w:val="3"/>
  </w:num>
  <w:num w:numId="2" w16cid:durableId="1134521793">
    <w:abstractNumId w:val="0"/>
  </w:num>
  <w:num w:numId="3" w16cid:durableId="1419213477">
    <w:abstractNumId w:val="2"/>
  </w:num>
  <w:num w:numId="4" w16cid:durableId="1505588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39"/>
    <w:rsid w:val="0008162B"/>
    <w:rsid w:val="00122076"/>
    <w:rsid w:val="001352C9"/>
    <w:rsid w:val="00165822"/>
    <w:rsid w:val="00185E2B"/>
    <w:rsid w:val="001C3786"/>
    <w:rsid w:val="00215D8C"/>
    <w:rsid w:val="002B02A3"/>
    <w:rsid w:val="004073BF"/>
    <w:rsid w:val="00477BDF"/>
    <w:rsid w:val="004E7771"/>
    <w:rsid w:val="00552F1E"/>
    <w:rsid w:val="005B4BE4"/>
    <w:rsid w:val="005D5B28"/>
    <w:rsid w:val="0063022B"/>
    <w:rsid w:val="00671977"/>
    <w:rsid w:val="006C398E"/>
    <w:rsid w:val="006E491E"/>
    <w:rsid w:val="006E7BA1"/>
    <w:rsid w:val="00732116"/>
    <w:rsid w:val="007403CE"/>
    <w:rsid w:val="00760280"/>
    <w:rsid w:val="007B42B6"/>
    <w:rsid w:val="007C1731"/>
    <w:rsid w:val="00815750"/>
    <w:rsid w:val="00822096"/>
    <w:rsid w:val="00824A99"/>
    <w:rsid w:val="00833274"/>
    <w:rsid w:val="008C6E12"/>
    <w:rsid w:val="00900C5D"/>
    <w:rsid w:val="00972B45"/>
    <w:rsid w:val="00976909"/>
    <w:rsid w:val="00977939"/>
    <w:rsid w:val="009A3404"/>
    <w:rsid w:val="009E061B"/>
    <w:rsid w:val="00A52352"/>
    <w:rsid w:val="00AF0B8D"/>
    <w:rsid w:val="00B12413"/>
    <w:rsid w:val="00B45AD4"/>
    <w:rsid w:val="00BD0E92"/>
    <w:rsid w:val="00C8782A"/>
    <w:rsid w:val="00D10FA0"/>
    <w:rsid w:val="00D30FFF"/>
    <w:rsid w:val="00DE3BB1"/>
    <w:rsid w:val="00E01D86"/>
    <w:rsid w:val="00E4063D"/>
    <w:rsid w:val="00F06E3D"/>
    <w:rsid w:val="00F40DAF"/>
    <w:rsid w:val="00F800C4"/>
    <w:rsid w:val="00FC0AC8"/>
    <w:rsid w:val="00FD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BA3CD"/>
  <w15:docId w15:val="{2A58D8FC-0724-436C-8E02-98B9A31D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0E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690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B4BE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B4BE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B4BE4"/>
    <w:rPr>
      <w:vertAlign w:val="superscript"/>
    </w:rPr>
  </w:style>
  <w:style w:type="paragraph" w:styleId="Revisione">
    <w:name w:val="Revision"/>
    <w:hidden/>
    <w:uiPriority w:val="99"/>
    <w:semiHidden/>
    <w:rsid w:val="004073B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7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3D55A-137E-4839-A00C-C0193161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adriano.cataldo</dc:creator>
  <cp:keywords/>
  <dc:description/>
  <cp:lastModifiedBy>Riz Nicola</cp:lastModifiedBy>
  <cp:revision>5</cp:revision>
  <dcterms:created xsi:type="dcterms:W3CDTF">2022-10-28T10:39:00Z</dcterms:created>
  <dcterms:modified xsi:type="dcterms:W3CDTF">2025-10-29T15:59:00Z</dcterms:modified>
</cp:coreProperties>
</file>